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9F" w:rsidRPr="0073215C" w:rsidRDefault="0087679F" w:rsidP="0087679F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C">
        <w:rPr>
          <w:rFonts w:ascii="Times New Roman" w:hAnsi="Times New Roman"/>
          <w:b/>
          <w:bCs/>
          <w:color w:val="000000"/>
          <w:sz w:val="24"/>
          <w:szCs w:val="24"/>
        </w:rPr>
        <w:t>UMOWA Nr ……………………</w:t>
      </w:r>
    </w:p>
    <w:p w:rsidR="0087679F" w:rsidRPr="0073215C" w:rsidRDefault="0087679F" w:rsidP="0087679F">
      <w:pPr>
        <w:pStyle w:val="Zwykytekst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679F" w:rsidRPr="0073215C" w:rsidRDefault="0087679F" w:rsidP="0087679F">
      <w:pPr>
        <w:pStyle w:val="Zwykytekst"/>
        <w:ind w:righ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679F" w:rsidRPr="0073215C" w:rsidRDefault="0087679F" w:rsidP="00646C92">
      <w:pPr>
        <w:pStyle w:val="Zwykytekst"/>
        <w:spacing w:line="360" w:lineRule="auto"/>
        <w:ind w:righ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215C">
        <w:rPr>
          <w:rFonts w:ascii="Times New Roman" w:hAnsi="Times New Roman"/>
          <w:color w:val="000000"/>
          <w:sz w:val="24"/>
          <w:szCs w:val="24"/>
        </w:rPr>
        <w:t xml:space="preserve">Zawarta w dniu ……………….. na podstawie art. 4 pkt 8 ustawy z dnia 29 stycznia 2004 r. Prawo zamówień publicznych (t. j. </w:t>
      </w:r>
      <w:r w:rsidR="0032216E">
        <w:rPr>
          <w:rFonts w:ascii="Times New Roman" w:hAnsi="Times New Roman"/>
          <w:sz w:val="24"/>
          <w:szCs w:val="24"/>
        </w:rPr>
        <w:t xml:space="preserve">Dz. U. z 2018 r., poz. 1986 z </w:t>
      </w:r>
      <w:proofErr w:type="spellStart"/>
      <w:r w:rsidR="0032216E">
        <w:rPr>
          <w:rFonts w:ascii="Times New Roman" w:hAnsi="Times New Roman"/>
          <w:sz w:val="24"/>
          <w:szCs w:val="24"/>
        </w:rPr>
        <w:t>póź</w:t>
      </w:r>
      <w:proofErr w:type="spellEnd"/>
      <w:r w:rsidR="003221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216E">
        <w:rPr>
          <w:rFonts w:ascii="Times New Roman" w:hAnsi="Times New Roman"/>
          <w:sz w:val="24"/>
          <w:szCs w:val="24"/>
        </w:rPr>
        <w:t>zm</w:t>
      </w:r>
      <w:proofErr w:type="spellEnd"/>
      <w:r w:rsidRPr="0073215C">
        <w:rPr>
          <w:rFonts w:ascii="Times New Roman" w:hAnsi="Times New Roman"/>
          <w:color w:val="000000"/>
          <w:sz w:val="24"/>
          <w:szCs w:val="24"/>
        </w:rPr>
        <w:t>), pomiędzy:</w:t>
      </w:r>
    </w:p>
    <w:p w:rsidR="0087679F" w:rsidRPr="0073215C" w:rsidRDefault="0087679F" w:rsidP="00646C9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15C">
        <w:rPr>
          <w:rFonts w:ascii="Times New Roman" w:hAnsi="Times New Roman"/>
          <w:b/>
          <w:color w:val="000000"/>
          <w:sz w:val="24"/>
          <w:szCs w:val="24"/>
        </w:rPr>
        <w:t>POWIATEM WOŁOMIŃSKIM</w:t>
      </w:r>
      <w:r w:rsidRPr="0073215C">
        <w:rPr>
          <w:rFonts w:ascii="Times New Roman" w:hAnsi="Times New Roman"/>
          <w:color w:val="000000"/>
          <w:sz w:val="24"/>
          <w:szCs w:val="24"/>
        </w:rPr>
        <w:t xml:space="preserve"> z siedzibą w Wołominie przy ul. Prądzyńskiego 3, zwanym w treści umowy „Zamawiającym”, reprezentowanym przez:</w:t>
      </w:r>
    </w:p>
    <w:p w:rsidR="0087679F" w:rsidRPr="0073215C" w:rsidRDefault="0032216E" w:rsidP="00646C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Adama Lubiaka </w:t>
      </w:r>
      <w:r w:rsidR="0087679F" w:rsidRPr="0073215C">
        <w:rPr>
          <w:rFonts w:ascii="Times New Roman" w:hAnsi="Times New Roman"/>
          <w:color w:val="000000"/>
          <w:sz w:val="24"/>
          <w:szCs w:val="24"/>
        </w:rPr>
        <w:t xml:space="preserve"> – Starostę Powiatu Wołomińskiego</w:t>
      </w:r>
    </w:p>
    <w:p w:rsidR="0087679F" w:rsidRPr="0073215C" w:rsidRDefault="0032216E" w:rsidP="00646C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87679F" w:rsidRPr="0073215C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:rsidR="0087679F" w:rsidRDefault="0087679F" w:rsidP="00646C9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15C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:rsidR="0087679F" w:rsidRPr="0073215C" w:rsidRDefault="0087679F" w:rsidP="00646C9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firmą </w:t>
      </w:r>
      <w:r w:rsidR="0032216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50A2" w:rsidRDefault="00AD50A2" w:rsidP="00646C92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52B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AD50A2" w:rsidRPr="00B1052B" w:rsidRDefault="00AD50A2" w:rsidP="00646C92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50A2" w:rsidRDefault="00AD50A2" w:rsidP="00646C92">
      <w:pPr>
        <w:pStyle w:val="Akapitzlist"/>
        <w:numPr>
          <w:ilvl w:val="0"/>
          <w:numId w:val="4"/>
        </w:numPr>
        <w:spacing w:line="360" w:lineRule="auto"/>
        <w:jc w:val="both"/>
      </w:pPr>
      <w:r w:rsidRPr="004B0A70">
        <w:t xml:space="preserve">Zamawiający powierza, a Dostawca przyjmuje wykonanie : dostawę artykułów eksploatacyjnych do samochodów, maszyn i urządzeń do siedziby Wydziału Inwestycji i Drogownictwa </w:t>
      </w:r>
      <w:r>
        <w:t>(zwanego dalej jako WID)</w:t>
      </w:r>
      <w:r w:rsidRPr="004B0A70">
        <w:t xml:space="preserve"> Zagościniec ul. Asfaltowa 1, 05-200 Wołomin w 201</w:t>
      </w:r>
      <w:r w:rsidR="0032216E">
        <w:t>9</w:t>
      </w:r>
      <w:r w:rsidRPr="004B0A70">
        <w:t xml:space="preserve"> r, zgodne z Ofertą  Dostawcy z </w:t>
      </w:r>
      <w:proofErr w:type="spellStart"/>
      <w:r w:rsidRPr="004B0A70">
        <w:t>dn</w:t>
      </w:r>
      <w:proofErr w:type="spellEnd"/>
      <w:r w:rsidRPr="004B0A70">
        <w:t xml:space="preserve">………..i terminem realizacji do dnia </w:t>
      </w:r>
      <w:r w:rsidRPr="004B0A70">
        <w:rPr>
          <w:b/>
        </w:rPr>
        <w:t>28.12.201</w:t>
      </w:r>
      <w:r w:rsidR="00BB0311">
        <w:rPr>
          <w:b/>
        </w:rPr>
        <w:t>9</w:t>
      </w:r>
      <w:r w:rsidRPr="004B0A70">
        <w:rPr>
          <w:b/>
        </w:rPr>
        <w:t xml:space="preserve"> r</w:t>
      </w:r>
      <w:r w:rsidRPr="004B0A70">
        <w:t xml:space="preserve">. lub wyczerpania całości kwoty wskazanej w § 2 ust. 3 Umowy. </w:t>
      </w:r>
    </w:p>
    <w:p w:rsidR="00AD50A2" w:rsidRDefault="00AD50A2" w:rsidP="00646C92">
      <w:pPr>
        <w:pStyle w:val="Akapitzlist"/>
        <w:numPr>
          <w:ilvl w:val="0"/>
          <w:numId w:val="4"/>
        </w:numPr>
        <w:spacing w:line="360" w:lineRule="auto"/>
        <w:jc w:val="both"/>
      </w:pPr>
      <w:r w:rsidRPr="004B0A70">
        <w:t xml:space="preserve">Dostawy będą realizowane partiami. Dostawa każdej partii nastąpi po uprzednim wypisaniu przez upoważnionego pracownika WID tj. ………………………………………………….., ……… zlecenia określającego </w:t>
      </w:r>
      <w:r w:rsidRPr="009037D3">
        <w:t>ilość oraz termin dostawy. Za odbiór uważa się podpisanie przez przedstawiciela Zamawiającego dokumentu WZ.</w:t>
      </w:r>
    </w:p>
    <w:p w:rsidR="00AD50A2" w:rsidRDefault="00AD50A2" w:rsidP="00646C92">
      <w:pPr>
        <w:pStyle w:val="Akapitzlist"/>
        <w:numPr>
          <w:ilvl w:val="0"/>
          <w:numId w:val="4"/>
        </w:numPr>
        <w:spacing w:line="360" w:lineRule="auto"/>
        <w:jc w:val="both"/>
      </w:pPr>
      <w:r w:rsidRPr="004B0A70">
        <w:t xml:space="preserve">Do odbioru artykułów i podpisania dokumentu WZ upoważnieni </w:t>
      </w:r>
      <w:r>
        <w:t xml:space="preserve">są następujący </w:t>
      </w:r>
      <w:r w:rsidRPr="004B0A70">
        <w:t>pracownicy WID</w:t>
      </w:r>
      <w:r w:rsidR="0032216E">
        <w:t>: Pani Jolanta Nowak oraz Pan Waldemar Majewski</w:t>
      </w:r>
    </w:p>
    <w:p w:rsidR="00AD50A2" w:rsidRPr="00E13B71" w:rsidRDefault="00AD50A2" w:rsidP="00646C92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AD50A2" w:rsidRDefault="00AD50A2" w:rsidP="00AD50A2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1.Strony ustalają sprzedaż artykułów na następujących warunkach:</w:t>
      </w:r>
    </w:p>
    <w:p w:rsidR="00646C92" w:rsidRDefault="00646C92" w:rsidP="00AD50A2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2"/>
        <w:gridCol w:w="2190"/>
        <w:gridCol w:w="748"/>
        <w:gridCol w:w="1212"/>
        <w:gridCol w:w="1478"/>
        <w:gridCol w:w="1524"/>
        <w:gridCol w:w="1524"/>
      </w:tblGrid>
      <w:tr w:rsidR="00646C92" w:rsidRPr="00646C92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Ilość</w:t>
            </w:r>
          </w:p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Jednostka miary </w:t>
            </w:r>
          </w:p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litry /sztuki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Wielkość opakowania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Proponowana cena netto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46C92" w:rsidRPr="00646C92" w:rsidRDefault="00646C92" w:rsidP="000D1EE7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Proponowana cena brutto</w:t>
            </w: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przekładniowy 80W/90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ind w:left="101" w:right="255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Olej silnikowy 5W/40     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4-5L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silnikowy 10W/40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Olej silnikowy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silnikowy 15W/40 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Szt./L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Olej silnikowy SUPEROL CC30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Szt./L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hydrauliczny L-HŁ-46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textAlignment w:val="top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Olej hydrauliczny HL-32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</w:rPr>
              <w:t>Smar MOBIL GREASE HXP 222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0,4kg-20kg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do prowadnicy łańcucha  piły spalinowej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trHeight w:val="976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mieszalny do pił spalinowych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7D1599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1L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chłodnic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Zapach/odświeżacz powietrza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7D1599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7ml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mycia szyb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0,7L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trHeight w:val="843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czyszczenia deski rozdzielczej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0,7L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hamulcowy DOT-3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7D1599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hamulcowy DOT-4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7D1599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do wspomagania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hydrauliczno- przekładniowy BOXOL-26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Płyn do 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spryskiwaczy zimowy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spryskiwaczy leni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Woda destylowana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Samostart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rozruchu i smarowania silników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651A44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0,4 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Odmrażacz  do szyb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0,7L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Dodatek do oleju napędowego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1L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 w aerozolu typu WD-40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0,45L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646C92" w:rsidRPr="00235208" w:rsidTr="00646C92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235208" w:rsidRDefault="00646C92" w:rsidP="00646C92">
            <w:pPr>
              <w:pStyle w:val="Tekstpodstawowy"/>
              <w:numPr>
                <w:ilvl w:val="0"/>
                <w:numId w:val="7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Dodatek do ON  A-DBLUE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7D1599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C92" w:rsidRPr="00235208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Pr="00C00F30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18L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C92" w:rsidRDefault="00646C92" w:rsidP="000D1EE7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:rsidR="00AD50A2" w:rsidRDefault="00AD50A2" w:rsidP="00646C9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2. Zamawiający  zastrzega sobie prawo do ograniczenia wielkości zamawianej dostawy w przypadku gdy zaistnieją okoliczności mniejszego niż przewidywano zużycia poszczególnych artykułów. Zmniejszenie  to nie przekroczy 20 % wartości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0A7D">
        <w:rPr>
          <w:rFonts w:ascii="Times New Roman" w:hAnsi="Times New Roman"/>
          <w:sz w:val="24"/>
          <w:szCs w:val="24"/>
        </w:rPr>
        <w:t>O zastosowaniu uprawnienia, o którym mowa w zdaniu powyżej Zamawiający powiadomi Dostawcę w formie pisemnej.</w:t>
      </w:r>
    </w:p>
    <w:p w:rsidR="00AD50A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 xml:space="preserve"> 3. Wartość wynagrodzenia </w:t>
      </w:r>
      <w:r>
        <w:rPr>
          <w:rFonts w:ascii="Times New Roman" w:hAnsi="Times New Roman"/>
          <w:sz w:val="24"/>
          <w:szCs w:val="24"/>
        </w:rPr>
        <w:t xml:space="preserve">za cały przedmiot Umowy </w:t>
      </w:r>
      <w:r w:rsidRPr="006A3252">
        <w:rPr>
          <w:rFonts w:ascii="Times New Roman" w:hAnsi="Times New Roman"/>
          <w:sz w:val="24"/>
          <w:szCs w:val="24"/>
        </w:rPr>
        <w:t>ustala się na podstawie przesłanej oferty uwzględniając wartość zamówienia podatek VAT zgodny z obowiązującymi przepisami na kwotę: ……………………….. zł brutto (słownie: …………………………………………………………. zł), zgodnie z formularzem cenowym Dostawcy z dnia ………………… będącym integralną częścią umowy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4. Strony ustalają, że cena określona w ust. 3 jest ceną maksymalną za całą sprzedaż zrealizowaną przez Dostawcę w okresie wskazanym w § 5 ust 1.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 xml:space="preserve">5. Zamawiający </w:t>
      </w:r>
      <w:r>
        <w:rPr>
          <w:rFonts w:ascii="Times New Roman" w:hAnsi="Times New Roman"/>
          <w:sz w:val="24"/>
          <w:szCs w:val="24"/>
        </w:rPr>
        <w:t xml:space="preserve">zastrzega możliwość dokonania </w:t>
      </w:r>
      <w:r w:rsidRPr="006A3252">
        <w:rPr>
          <w:rFonts w:ascii="Times New Roman" w:hAnsi="Times New Roman"/>
          <w:sz w:val="24"/>
          <w:szCs w:val="24"/>
        </w:rPr>
        <w:t>kupna artykułów określonych w § 1 ust. 1 w okresie wskazanym w §5 ust. 1 na łączną kwotę niższą niż określona w ust. 3, z zastrzeżeniem ust. 2</w:t>
      </w:r>
      <w:r>
        <w:rPr>
          <w:rFonts w:ascii="Times New Roman" w:hAnsi="Times New Roman"/>
          <w:sz w:val="24"/>
          <w:szCs w:val="24"/>
        </w:rPr>
        <w:t xml:space="preserve">, na co dostawca wyraża zgodę. </w:t>
      </w:r>
    </w:p>
    <w:p w:rsidR="00AD50A2" w:rsidRPr="006A3252" w:rsidRDefault="00AD50A2" w:rsidP="00AD50A2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AD50A2" w:rsidRPr="006A3252" w:rsidRDefault="00AD50A2" w:rsidP="00AD50A2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>§ 3</w:t>
      </w:r>
    </w:p>
    <w:p w:rsidR="00AD50A2" w:rsidRPr="006A3252" w:rsidRDefault="00AD50A2" w:rsidP="00646C9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 xml:space="preserve">Potwierdzeniem każdorazowego wydania artykułów wymienionych w § 1 ust.1 jest dokument </w:t>
      </w:r>
      <w:proofErr w:type="spellStart"/>
      <w:r w:rsidRPr="006A3252">
        <w:rPr>
          <w:rFonts w:ascii="Times New Roman" w:hAnsi="Times New Roman"/>
          <w:sz w:val="24"/>
          <w:szCs w:val="24"/>
        </w:rPr>
        <w:t>Wz</w:t>
      </w:r>
      <w:proofErr w:type="spellEnd"/>
      <w:r w:rsidRPr="006A3252">
        <w:rPr>
          <w:rFonts w:ascii="Times New Roman" w:hAnsi="Times New Roman"/>
          <w:sz w:val="24"/>
          <w:szCs w:val="24"/>
        </w:rPr>
        <w:t>, sporządzon</w:t>
      </w:r>
      <w:r>
        <w:rPr>
          <w:rFonts w:ascii="Times New Roman" w:hAnsi="Times New Roman"/>
          <w:sz w:val="24"/>
          <w:szCs w:val="24"/>
        </w:rPr>
        <w:t>y</w:t>
      </w:r>
      <w:r w:rsidRPr="006A3252">
        <w:rPr>
          <w:rFonts w:ascii="Times New Roman" w:hAnsi="Times New Roman"/>
          <w:sz w:val="24"/>
          <w:szCs w:val="24"/>
        </w:rPr>
        <w:t xml:space="preserve"> w dwóch jednobrzmiących egzemplarzach, z czego pierwszy stanowi załącznik do faktury, drugi pozostaje u Dostawcy.</w:t>
      </w:r>
    </w:p>
    <w:p w:rsidR="00AD50A2" w:rsidRPr="006A3252" w:rsidRDefault="00AD50A2" w:rsidP="00646C92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0A2" w:rsidRPr="006A3252" w:rsidRDefault="00AD50A2" w:rsidP="00646C92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>§ 4</w:t>
      </w:r>
    </w:p>
    <w:p w:rsidR="00AD50A2" w:rsidRDefault="00AD50A2" w:rsidP="00646C9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1. Faktury wystawiane będą przez Dostawcę w okresach miesięcznych</w:t>
      </w:r>
      <w:r>
        <w:rPr>
          <w:rFonts w:ascii="Times New Roman" w:hAnsi="Times New Roman"/>
          <w:sz w:val="24"/>
          <w:szCs w:val="24"/>
        </w:rPr>
        <w:t>.</w:t>
      </w:r>
      <w:r w:rsidRPr="006A3252">
        <w:rPr>
          <w:rFonts w:ascii="Times New Roman" w:hAnsi="Times New Roman"/>
          <w:sz w:val="24"/>
          <w:szCs w:val="24"/>
        </w:rPr>
        <w:t xml:space="preserve">  </w:t>
      </w:r>
    </w:p>
    <w:p w:rsidR="00AD50A2" w:rsidRDefault="00AD50A2" w:rsidP="00646C9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2. Wypłata wynagrodzenia nastąpi w formie przelewu na konto Dostawcy w ciągu 30 dni od daty  dostarczenia prawidłowo wystawionej faktury do siedziby Zamawiającego</w:t>
      </w:r>
      <w:r w:rsidRPr="009037D3">
        <w:rPr>
          <w:rFonts w:ascii="Times New Roman" w:hAnsi="Times New Roman"/>
          <w:sz w:val="24"/>
          <w:szCs w:val="24"/>
        </w:rPr>
        <w:t>.</w:t>
      </w:r>
      <w:r w:rsidRPr="000C1544">
        <w:rPr>
          <w:rFonts w:ascii="Times New Roman" w:hAnsi="Times New Roman"/>
          <w:sz w:val="24"/>
          <w:szCs w:val="24"/>
        </w:rPr>
        <w:t xml:space="preserve"> </w:t>
      </w:r>
      <w:r w:rsidRPr="00ED0A7D">
        <w:rPr>
          <w:rFonts w:ascii="Times New Roman" w:hAnsi="Times New Roman"/>
          <w:sz w:val="24"/>
          <w:szCs w:val="24"/>
        </w:rPr>
        <w:t>Za dzień zapłaty strony uznają datę złożenia dyspozycji przelewu przez Zamawiającego.</w:t>
      </w:r>
    </w:p>
    <w:p w:rsidR="00AD50A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3. W przypadku faktury zawierającej błędy, Zamawiający ma obowiązek poinformować o tym fakcie Wykonawcę  w ciągu 5 dni roboczych od daty jej otrzymania, ze wskazaniem błędów i sposobu ich poprawienia.</w:t>
      </w:r>
    </w:p>
    <w:p w:rsidR="00AD50A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D0A7D">
        <w:rPr>
          <w:rFonts w:ascii="Times New Roman" w:hAnsi="Times New Roman"/>
          <w:sz w:val="24"/>
          <w:szCs w:val="24"/>
        </w:rPr>
        <w:t>Fakturę należy wystawić na: Powiat Wołomiński,</w:t>
      </w:r>
    </w:p>
    <w:p w:rsidR="00AD50A2" w:rsidRDefault="00AD50A2" w:rsidP="00AD50A2">
      <w:pPr>
        <w:rPr>
          <w:sz w:val="24"/>
          <w:szCs w:val="24"/>
        </w:rPr>
      </w:pPr>
      <w:r w:rsidRPr="00ED0A7D">
        <w:rPr>
          <w:rFonts w:ascii="Times New Roman" w:hAnsi="Times New Roman"/>
          <w:sz w:val="24"/>
          <w:szCs w:val="24"/>
        </w:rPr>
        <w:t>adres: 05-200 Wołomin, ul. Prądzyńskiego 3,</w:t>
      </w:r>
    </w:p>
    <w:p w:rsidR="00AD50A2" w:rsidRDefault="00AD50A2" w:rsidP="00AD50A2">
      <w:pPr>
        <w:rPr>
          <w:sz w:val="24"/>
          <w:szCs w:val="24"/>
        </w:rPr>
      </w:pPr>
      <w:r w:rsidRPr="00ED0A7D">
        <w:rPr>
          <w:rFonts w:ascii="Times New Roman" w:hAnsi="Times New Roman"/>
          <w:sz w:val="24"/>
          <w:szCs w:val="24"/>
        </w:rPr>
        <w:t>NIP: 125-094-06-09, Regon: 01-32-69-344.</w:t>
      </w:r>
    </w:p>
    <w:p w:rsidR="00AD50A2" w:rsidRPr="006A3252" w:rsidRDefault="00AD50A2" w:rsidP="00AD50A2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>§ 5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1. Umowa zostaje zawarta na czas oznaczony tj. od dni</w:t>
      </w:r>
      <w:r>
        <w:rPr>
          <w:rFonts w:ascii="Times New Roman" w:hAnsi="Times New Roman"/>
          <w:sz w:val="24"/>
          <w:szCs w:val="24"/>
        </w:rPr>
        <w:t>a podpisania umowy do 28.12.201</w:t>
      </w:r>
      <w:r w:rsidR="00BB031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lub do wyczerpania kwoty </w:t>
      </w:r>
      <w:r w:rsidRPr="006A3252">
        <w:rPr>
          <w:rFonts w:ascii="Times New Roman" w:hAnsi="Times New Roman"/>
          <w:sz w:val="24"/>
          <w:szCs w:val="24"/>
        </w:rPr>
        <w:t>określonej w § 2 ust. 3.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2. Termin realizacji nie zmieni się w przypadku niewykorzystania dostaw w ilościach określonych w § 1 ust. 1.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3. W przypadku przekroczenia kwoty wartości umowy, umowa wygasa przed terminem</w:t>
      </w:r>
      <w:r>
        <w:rPr>
          <w:rFonts w:ascii="Times New Roman" w:hAnsi="Times New Roman"/>
          <w:sz w:val="24"/>
          <w:szCs w:val="24"/>
        </w:rPr>
        <w:t xml:space="preserve"> o którym mowa w ust. 1</w:t>
      </w:r>
      <w:r w:rsidRPr="006A3252">
        <w:rPr>
          <w:rFonts w:ascii="Times New Roman" w:hAnsi="Times New Roman"/>
          <w:sz w:val="24"/>
          <w:szCs w:val="24"/>
        </w:rPr>
        <w:t>, z  dniem wyczerpania kwoty określonej w § 2 ust. 3.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AD50A2" w:rsidRPr="006A3252" w:rsidRDefault="00AD50A2" w:rsidP="00AD50A2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>§ 6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1. Strony ustalają niżej wymienione osoby do kontaktu w ramach realizacji niniejszej umowy:</w:t>
      </w:r>
      <w:r w:rsidRPr="006A3252">
        <w:rPr>
          <w:rFonts w:ascii="Times New Roman" w:hAnsi="Times New Roman"/>
          <w:sz w:val="24"/>
          <w:szCs w:val="24"/>
        </w:rPr>
        <w:tab/>
        <w:t>1) ze strony Zamawiającego: -……………….– …………………….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ab/>
        <w:t>2)  ze strony Dostawcy: -……………….– …………………….</w:t>
      </w:r>
    </w:p>
    <w:p w:rsidR="00AD50A2" w:rsidRPr="006A3252" w:rsidRDefault="00AD50A2" w:rsidP="00AD50A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2. W przypadku zmiany osoby do kontaktu, numeru telefonu, faksu – strony ustalają, iż nie skutkuje to zmianą umowy.</w:t>
      </w:r>
    </w:p>
    <w:p w:rsidR="00AD50A2" w:rsidRPr="006A3252" w:rsidRDefault="00AD50A2" w:rsidP="00AD50A2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>§ 7</w:t>
      </w:r>
    </w:p>
    <w:p w:rsidR="00AD50A2" w:rsidRPr="006A3252" w:rsidRDefault="00AD50A2" w:rsidP="00646C9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1. Dostawca zapłaci Zamawiającemu karę umowną:</w:t>
      </w:r>
    </w:p>
    <w:p w:rsidR="00AD50A2" w:rsidRPr="006A3252" w:rsidRDefault="00AD50A2" w:rsidP="00646C92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 w:rsidRPr="006A3252">
        <w:lastRenderedPageBreak/>
        <w:t>w przypadku odstąpienia od umowy przez Zamawiającego z przyczyn, za które ponosi odpowiedzialność Dostawca, w wysokości 10% wynagrodzenia umownego brutto, o którym mowa w § 2 ust. 3;</w:t>
      </w:r>
    </w:p>
    <w:p w:rsidR="00AD50A2" w:rsidRDefault="00AD50A2" w:rsidP="00646C92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 w:rsidRPr="006A3252">
        <w:t xml:space="preserve">za zwłokę w dostawie lub odmowie sprzedaży określonego w §1 ust. 1 przedmiotu umowy lub części przedmiotu umowy, w wysokości 1 % wynagrodzenia umownego brutto, o którym mowa w § 2 ust. 3, za każdy dzień zwłoki za przedmiot lub część przedmiotu umowy, którego zwłoka lub odmowa sprzedaży dotyczy licząc od dnia zgłoszenia przez Zamawiającego potrzeby zakupu. </w:t>
      </w:r>
    </w:p>
    <w:p w:rsidR="00646C92" w:rsidRDefault="00646C92" w:rsidP="00646C92">
      <w:pPr>
        <w:pStyle w:val="Akapitzlist"/>
        <w:tabs>
          <w:tab w:val="left" w:pos="360"/>
        </w:tabs>
        <w:ind w:left="644"/>
        <w:jc w:val="center"/>
        <w:rPr>
          <w:b/>
        </w:rPr>
      </w:pPr>
      <w:r w:rsidRPr="00646C92">
        <w:rPr>
          <w:b/>
        </w:rPr>
        <w:t xml:space="preserve">§ </w:t>
      </w:r>
      <w:r>
        <w:rPr>
          <w:b/>
        </w:rPr>
        <w:t>8</w:t>
      </w:r>
    </w:p>
    <w:p w:rsidR="00646C92" w:rsidRPr="00646C92" w:rsidRDefault="00646C92" w:rsidP="00646C92">
      <w:pPr>
        <w:pStyle w:val="Akapitzlist"/>
        <w:tabs>
          <w:tab w:val="left" w:pos="360"/>
        </w:tabs>
        <w:ind w:left="644"/>
        <w:jc w:val="center"/>
        <w:rPr>
          <w:b/>
        </w:rPr>
      </w:pPr>
    </w:p>
    <w:p w:rsidR="00AD50A2" w:rsidRPr="006A3252" w:rsidRDefault="00AD50A2" w:rsidP="00646C92">
      <w:pPr>
        <w:pStyle w:val="Akapitzlist"/>
        <w:numPr>
          <w:ilvl w:val="0"/>
          <w:numId w:val="9"/>
        </w:numPr>
        <w:spacing w:line="360" w:lineRule="auto"/>
        <w:jc w:val="both"/>
      </w:pPr>
      <w:r w:rsidRPr="006A3252">
        <w:t>Zamawiający może dochodzić na zasadach ogólnych odszkodowania przewyższającego wartość kar umownych.</w:t>
      </w:r>
    </w:p>
    <w:p w:rsidR="00AD50A2" w:rsidRPr="006A3252" w:rsidRDefault="00AD50A2" w:rsidP="00646C92">
      <w:pPr>
        <w:pStyle w:val="Akapitzlist"/>
        <w:numPr>
          <w:ilvl w:val="0"/>
          <w:numId w:val="9"/>
        </w:numPr>
        <w:spacing w:line="360" w:lineRule="auto"/>
        <w:jc w:val="both"/>
      </w:pPr>
      <w:r w:rsidRPr="006A3252">
        <w:t>Z</w:t>
      </w:r>
      <w:r>
        <w:t>amawiający zapłaci Dostawcy karę</w:t>
      </w:r>
      <w:r w:rsidRPr="006A3252">
        <w:t xml:space="preserve"> umowną w sytuacji odstąpienia od umowy z winy Zmawiającego w wysokości 10 % wynagro</w:t>
      </w:r>
      <w:r>
        <w:t xml:space="preserve">dzenia umownego o którym mowa w </w:t>
      </w:r>
      <w:r w:rsidRPr="006A3252">
        <w:t>§ 2 ust. 3.</w:t>
      </w:r>
    </w:p>
    <w:p w:rsidR="00AD50A2" w:rsidRPr="006A3252" w:rsidRDefault="00AD50A2" w:rsidP="00646C92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 xml:space="preserve">§ </w:t>
      </w:r>
      <w:r w:rsidR="00646C92">
        <w:rPr>
          <w:rFonts w:ascii="Times New Roman" w:hAnsi="Times New Roman"/>
          <w:b/>
          <w:sz w:val="24"/>
          <w:szCs w:val="24"/>
        </w:rPr>
        <w:t>9</w:t>
      </w:r>
    </w:p>
    <w:p w:rsidR="00AD50A2" w:rsidRPr="006A3252" w:rsidRDefault="00AD50A2" w:rsidP="00646C9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Wszelkie zmiany niniejszej umowy następować będą w formie pisemnej pod rygorem nieważności.</w:t>
      </w:r>
    </w:p>
    <w:p w:rsidR="00AD50A2" w:rsidRPr="006A3252" w:rsidRDefault="00AD50A2" w:rsidP="00646C9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252">
        <w:rPr>
          <w:rFonts w:ascii="Times New Roman" w:hAnsi="Times New Roman"/>
          <w:b/>
          <w:sz w:val="24"/>
          <w:szCs w:val="24"/>
        </w:rPr>
        <w:t xml:space="preserve">§ </w:t>
      </w:r>
      <w:r w:rsidR="00646C92">
        <w:rPr>
          <w:rFonts w:ascii="Times New Roman" w:hAnsi="Times New Roman"/>
          <w:b/>
          <w:sz w:val="24"/>
          <w:szCs w:val="24"/>
        </w:rPr>
        <w:t>10</w:t>
      </w:r>
    </w:p>
    <w:p w:rsidR="00AD50A2" w:rsidRPr="006A3252" w:rsidRDefault="00AD50A2" w:rsidP="00646C92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 xml:space="preserve">1. W razie zaistnienia 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AD50A2" w:rsidRPr="006A3252" w:rsidRDefault="00AD50A2" w:rsidP="00AD50A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A3252">
        <w:rPr>
          <w:rFonts w:ascii="Times New Roman" w:hAnsi="Times New Roman"/>
          <w:sz w:val="24"/>
          <w:szCs w:val="24"/>
        </w:rPr>
        <w:t>2. W takim wypadku Dostawca może żądać wyłącznie wynagrodzenia należnego z tytułu wykonania części umowy.</w:t>
      </w:r>
    </w:p>
    <w:p w:rsidR="00BB0311" w:rsidRDefault="00BB0311" w:rsidP="00BB0311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222222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eastAsia="pl-PL"/>
        </w:rPr>
        <w:t xml:space="preserve">§ </w:t>
      </w:r>
      <w:r w:rsidR="00646C92">
        <w:rPr>
          <w:rFonts w:eastAsia="Times New Roman" w:cs="Calibri"/>
          <w:b/>
          <w:bCs/>
          <w:color w:val="222222"/>
          <w:sz w:val="24"/>
          <w:szCs w:val="24"/>
          <w:lang w:eastAsia="pl-PL"/>
        </w:rPr>
        <w:t>11</w:t>
      </w:r>
    </w:p>
    <w:p w:rsidR="00BB0311" w:rsidRPr="00646C92" w:rsidRDefault="00BB0311" w:rsidP="00BB031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r w:rsidRPr="00646C92">
        <w:rPr>
          <w:rFonts w:ascii="Times New Roman" w:hAnsi="Times New Roman"/>
          <w:sz w:val="24"/>
          <w:szCs w:val="24"/>
        </w:rPr>
        <w:t xml:space="preserve">Wykonawca oświadcza, że znany jest mu fakt, iż treść niniejszej umowy, a w szczególności dane go identyfikujące przedmiot umowy i wysokość wynagrodzenia, stanowią informację publiczną w rozumieniu art. 1 ust. 1 ustawy z dnia 6 września 2001r. o dostępie do informacji publicznej (t. j. Dz. U. z 2018r. poz. 1330, z </w:t>
      </w:r>
      <w:proofErr w:type="spellStart"/>
      <w:r w:rsidRPr="00646C92">
        <w:rPr>
          <w:rFonts w:ascii="Times New Roman" w:hAnsi="Times New Roman"/>
          <w:sz w:val="24"/>
          <w:szCs w:val="24"/>
        </w:rPr>
        <w:t>późn</w:t>
      </w:r>
      <w:proofErr w:type="spellEnd"/>
      <w:r w:rsidRPr="00646C92">
        <w:rPr>
          <w:rFonts w:ascii="Times New Roman" w:hAnsi="Times New Roman"/>
          <w:sz w:val="24"/>
          <w:szCs w:val="24"/>
        </w:rPr>
        <w:t>. zm.), która podlega udostępnieniu w trybie przedmiotowej ustawy.</w:t>
      </w:r>
    </w:p>
    <w:p w:rsidR="00BB0311" w:rsidRPr="00646C92" w:rsidRDefault="00BB0311" w:rsidP="00BB0311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646C92">
        <w:rPr>
          <w:rFonts w:ascii="Times New Roman" w:hAnsi="Times New Roman"/>
          <w:sz w:val="24"/>
          <w:szCs w:val="24"/>
        </w:rPr>
        <w:lastRenderedPageBreak/>
        <w:t>2. Wykonanie niniejszej umowy nie wiąże się z przetwarzaniem danych w rozumieniu Rozporządzenia Parlamentu Europejskiego i Rady (UE) 2016/679 z dnia 27 kwietnia 2016 r</w:t>
      </w:r>
      <w:r>
        <w:rPr>
          <w:rFonts w:cs="Calibri"/>
          <w:sz w:val="24"/>
          <w:szCs w:val="24"/>
        </w:rPr>
        <w:t xml:space="preserve">. </w:t>
      </w:r>
      <w:r w:rsidRPr="00646C92">
        <w:rPr>
          <w:rFonts w:ascii="Times New Roman" w:hAnsi="Times New Roman"/>
          <w:sz w:val="24"/>
          <w:szCs w:val="24"/>
        </w:rPr>
        <w:t>w sprawie ochrony osób fizycznych w związku z przetwarzaniem danych osobowych i w sprawie swobodnego przepływu takich danych oraz uchylenia dyrektywy 95/46/W (Dz. Urz. U. E. z dnia 4.05.2016 r., L 119) oraz ustawy z dnia 10 maja 2018 r. o ochronie danych osobowych (t. j. 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Dostawca wskazał ze swojej strony do realizacji niniejszej umowy.</w:t>
      </w:r>
    </w:p>
    <w:p w:rsidR="00BB0311" w:rsidRPr="00646C92" w:rsidRDefault="00BB0311" w:rsidP="00BB0311">
      <w:pPr>
        <w:pStyle w:val="Akapitzlist"/>
        <w:shd w:val="clear" w:color="auto" w:fill="FFFFFF"/>
        <w:spacing w:line="360" w:lineRule="auto"/>
        <w:rPr>
          <w:color w:val="222222"/>
        </w:rPr>
      </w:pPr>
      <w:r w:rsidRPr="00646C92">
        <w:rPr>
          <w:b/>
          <w:bCs/>
          <w:color w:val="222222"/>
        </w:rPr>
        <w:t xml:space="preserve">                                                                    § 1</w:t>
      </w:r>
      <w:r w:rsidR="00646C92">
        <w:rPr>
          <w:b/>
          <w:bCs/>
          <w:color w:val="222222"/>
        </w:rPr>
        <w:t>2</w:t>
      </w:r>
    </w:p>
    <w:p w:rsidR="00BB0311" w:rsidRPr="00646C92" w:rsidRDefault="00BB0311" w:rsidP="00BB0311">
      <w:pPr>
        <w:pStyle w:val="Akapitzlist"/>
        <w:numPr>
          <w:ilvl w:val="0"/>
          <w:numId w:val="6"/>
        </w:numPr>
        <w:shd w:val="clear" w:color="auto" w:fill="FFFFFF"/>
        <w:spacing w:after="300" w:line="360" w:lineRule="auto"/>
        <w:rPr>
          <w:color w:val="222222"/>
        </w:rPr>
      </w:pPr>
      <w:r w:rsidRPr="00646C92">
        <w:t>W sprawach nieuregulowanych w niniejszej umowie mają zastosowanie właściwe przepisy prawa.</w:t>
      </w:r>
    </w:p>
    <w:p w:rsidR="00BB0311" w:rsidRPr="00646C92" w:rsidRDefault="00BB0311" w:rsidP="00BB0311">
      <w:pPr>
        <w:pStyle w:val="Akapitzlist"/>
        <w:numPr>
          <w:ilvl w:val="0"/>
          <w:numId w:val="6"/>
        </w:numPr>
        <w:shd w:val="clear" w:color="auto" w:fill="FFFFFF"/>
        <w:spacing w:after="300" w:line="360" w:lineRule="auto"/>
        <w:rPr>
          <w:color w:val="222222"/>
        </w:rPr>
      </w:pPr>
      <w:r w:rsidRPr="00646C92">
        <w:t>Ewentualne spory mogące wyniknąć między stronami rozstrzygać będzie sąd właściwy miejscowo dla siedziby Zamawiającego.</w:t>
      </w:r>
    </w:p>
    <w:p w:rsidR="00BB0311" w:rsidRPr="00646C92" w:rsidRDefault="00BB0311" w:rsidP="00BB0311">
      <w:pPr>
        <w:pStyle w:val="Akapitzlist"/>
        <w:numPr>
          <w:ilvl w:val="0"/>
          <w:numId w:val="6"/>
        </w:numPr>
        <w:shd w:val="clear" w:color="auto" w:fill="FFFFFF"/>
        <w:spacing w:after="300" w:line="360" w:lineRule="auto"/>
        <w:rPr>
          <w:color w:val="222222"/>
        </w:rPr>
      </w:pPr>
      <w:r w:rsidRPr="00646C92">
        <w:t>Wszelkie zmiany i uzupełnienia treści niniejszej umowy wymagają formy pisemnej</w:t>
      </w:r>
      <w:r w:rsidRPr="00646C92">
        <w:br/>
        <w:t>w postaci aneksów do umowy, pod rygorem nieważności.</w:t>
      </w:r>
    </w:p>
    <w:p w:rsidR="00BB0311" w:rsidRPr="00646C92" w:rsidRDefault="00BB0311" w:rsidP="00BB031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646C92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                                                                </w:t>
      </w:r>
      <w:r w:rsidRPr="00646C9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  <w:t>§ 1</w:t>
      </w:r>
      <w:r w:rsidR="00646C9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  <w:t>3</w:t>
      </w:r>
    </w:p>
    <w:p w:rsidR="00BB0311" w:rsidRPr="00646C92" w:rsidRDefault="00BB0311" w:rsidP="00BB0311">
      <w:pPr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46C92">
        <w:rPr>
          <w:rFonts w:ascii="Times New Roman" w:hAnsi="Times New Roman"/>
          <w:color w:val="000000"/>
          <w:sz w:val="24"/>
          <w:szCs w:val="24"/>
        </w:rPr>
        <w:t>Umowę sporządzono w trzech jednobrzmiących egzemplarzach, w tym 2 egzemplarze   dla Zamawiającego i 1 egzemplarz dla Wykonawcy.</w:t>
      </w:r>
    </w:p>
    <w:p w:rsidR="00BB0311" w:rsidRPr="00646C92" w:rsidRDefault="00646C92" w:rsidP="00BB031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="00BB0311" w:rsidRPr="00646C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Zamawiający</w:t>
      </w:r>
    </w:p>
    <w:p w:rsidR="00BB0311" w:rsidRPr="00646C92" w:rsidRDefault="00BB0311" w:rsidP="00BB031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46C92">
        <w:rPr>
          <w:rFonts w:ascii="Times New Roman" w:hAnsi="Times New Roman"/>
          <w:sz w:val="24"/>
          <w:szCs w:val="24"/>
        </w:rPr>
        <w:t>…………………………………</w:t>
      </w:r>
      <w:r w:rsidR="008A7494">
        <w:rPr>
          <w:rFonts w:ascii="Times New Roman" w:hAnsi="Times New Roman"/>
          <w:sz w:val="24"/>
          <w:szCs w:val="24"/>
        </w:rPr>
        <w:t xml:space="preserve">                                 ………………………………….</w:t>
      </w:r>
      <w:r w:rsidRPr="00646C9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AD50A2" w:rsidRPr="00646C92" w:rsidRDefault="00AD50A2" w:rsidP="00AD50A2">
      <w:p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 w:rsidRPr="00646C92">
        <w:rPr>
          <w:rFonts w:ascii="Times New Roman" w:hAnsi="Times New Roman"/>
          <w:sz w:val="24"/>
          <w:szCs w:val="24"/>
        </w:rPr>
        <w:t xml:space="preserve"> </w:t>
      </w:r>
    </w:p>
    <w:p w:rsidR="00AD50A2" w:rsidRPr="00646C92" w:rsidRDefault="00AD50A2" w:rsidP="00AD50A2">
      <w:pPr>
        <w:rPr>
          <w:rFonts w:ascii="Times New Roman" w:hAnsi="Times New Roman"/>
        </w:rPr>
      </w:pPr>
      <w:bookmarkStart w:id="0" w:name="_GoBack"/>
      <w:bookmarkEnd w:id="0"/>
    </w:p>
    <w:p w:rsidR="002D7387" w:rsidRPr="00646C92" w:rsidRDefault="002D7387">
      <w:pPr>
        <w:rPr>
          <w:rFonts w:ascii="Times New Roman" w:hAnsi="Times New Roman"/>
        </w:rPr>
      </w:pPr>
    </w:p>
    <w:sectPr w:rsidR="002D7387" w:rsidRPr="00646C92" w:rsidSect="002068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224"/>
    <w:multiLevelType w:val="hybridMultilevel"/>
    <w:tmpl w:val="79FE6944"/>
    <w:lvl w:ilvl="0" w:tplc="0B10C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5181"/>
    <w:multiLevelType w:val="hybridMultilevel"/>
    <w:tmpl w:val="FA00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31D50"/>
    <w:multiLevelType w:val="hybridMultilevel"/>
    <w:tmpl w:val="0564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565B"/>
    <w:multiLevelType w:val="hybridMultilevel"/>
    <w:tmpl w:val="B614B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D54CF"/>
    <w:multiLevelType w:val="hybridMultilevel"/>
    <w:tmpl w:val="9910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D7C6E"/>
    <w:multiLevelType w:val="hybridMultilevel"/>
    <w:tmpl w:val="FA00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5CEE"/>
    <w:multiLevelType w:val="hybridMultilevel"/>
    <w:tmpl w:val="6AD02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04A9F"/>
    <w:multiLevelType w:val="hybridMultilevel"/>
    <w:tmpl w:val="4BC06CDE"/>
    <w:lvl w:ilvl="0" w:tplc="33E089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0A2"/>
    <w:rsid w:val="002D7387"/>
    <w:rsid w:val="0032216E"/>
    <w:rsid w:val="00646C92"/>
    <w:rsid w:val="008173B0"/>
    <w:rsid w:val="0087679F"/>
    <w:rsid w:val="008A7494"/>
    <w:rsid w:val="00AD50A2"/>
    <w:rsid w:val="00BB0311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FB25"/>
  <w15:docId w15:val="{C20EC7AD-0EEF-460B-8A8F-C0E78EBF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0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D50A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50A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50A2"/>
    <w:pPr>
      <w:spacing w:after="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50A2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D50A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0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J.Nowak</cp:lastModifiedBy>
  <cp:revision>7</cp:revision>
  <dcterms:created xsi:type="dcterms:W3CDTF">2017-12-12T07:42:00Z</dcterms:created>
  <dcterms:modified xsi:type="dcterms:W3CDTF">2018-12-18T06:58:00Z</dcterms:modified>
</cp:coreProperties>
</file>